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E" w:rsidRPr="008F0B26" w:rsidRDefault="008F0B26" w:rsidP="00F27F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F0B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ПРОКУРАТУРА ИРКУТСКОГО РАЙОНА РАЗЪЯСНЯЕТ:</w:t>
      </w:r>
    </w:p>
    <w:p w:rsidR="00811A62" w:rsidRDefault="00F27F95" w:rsidP="00F27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 ЗА ОСУЩЕСТВЛЕНИЕ НЕЗАКОННО</w:t>
      </w:r>
      <w:r w:rsidR="00724897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ТЕХНОЛОГИЧЕСКОГО ПРИСОЕДИНЕНИЯ К ЭЛЕКТРИЧЕСКОЙ СЕТИ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0437" w:rsidRPr="00F60437" w:rsidRDefault="00F60437" w:rsidP="00F27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F95" w:rsidRPr="00F27F95" w:rsidRDefault="00F27F95" w:rsidP="00F27F95">
      <w:pPr>
        <w:pStyle w:val="a5"/>
        <w:spacing w:before="0" w:beforeAutospacing="0" w:after="0" w:afterAutospacing="0" w:line="288" w:lineRule="atLeast"/>
        <w:ind w:firstLine="540"/>
        <w:jc w:val="both"/>
      </w:pPr>
      <w:r w:rsidRPr="00F27F95">
        <w:t>Технологическое присоединение</w:t>
      </w:r>
      <w:r>
        <w:t xml:space="preserve"> к электрической сети</w:t>
      </w:r>
      <w:r w:rsidRPr="00F27F95">
        <w:t xml:space="preserve"> является обязатель</w:t>
      </w:r>
      <w:r>
        <w:t>ным условием</w:t>
      </w:r>
      <w:r w:rsidRPr="00F27F95">
        <w:t xml:space="preserve"> </w:t>
      </w:r>
      <w:r>
        <w:t>право</w:t>
      </w:r>
      <w:r w:rsidRPr="00F27F95">
        <w:t xml:space="preserve">отношений </w:t>
      </w:r>
      <w:r>
        <w:t xml:space="preserve">по </w:t>
      </w:r>
      <w:r w:rsidRPr="00F27F95">
        <w:t>энергоснабжени</w:t>
      </w:r>
      <w:r>
        <w:t>ю между потребителем и гарантирующим поставщиком электрической энергии</w:t>
      </w:r>
      <w:r w:rsidRPr="00F27F95">
        <w:t xml:space="preserve">. Согласно п. 2 ст. 539 </w:t>
      </w:r>
      <w:r>
        <w:t>Гражданского кодекса Российской Федерации</w:t>
      </w:r>
      <w:r w:rsidRPr="00F27F95">
        <w:t xml:space="preserve"> 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</w:t>
      </w:r>
      <w:r w:rsidRPr="00F27F95">
        <w:rPr>
          <w:iCs/>
        </w:rPr>
        <w:t>присоединенного</w:t>
      </w:r>
      <w:r w:rsidRPr="00F27F95">
        <w:t xml:space="preserve"> к сетям </w:t>
      </w:r>
      <w:proofErr w:type="spellStart"/>
      <w:r w:rsidRPr="00F27F95">
        <w:t>энергоснабжающей</w:t>
      </w:r>
      <w:proofErr w:type="spellEnd"/>
      <w:r w:rsidRPr="00F27F95">
        <w:t xml:space="preserve"> организации</w:t>
      </w:r>
      <w:r>
        <w:t xml:space="preserve"> (сетевой организации)</w:t>
      </w:r>
      <w:r w:rsidRPr="00F27F95">
        <w:t>.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технологического присоединения регулируются ч. 1 ст. 26 Федерального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26.03.2003 № 35-ФЗ «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электроэнергетике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технологического присоединения </w:t>
      </w:r>
      <w:proofErr w:type="spellStart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27.12.2004 № 861.</w:t>
      </w:r>
    </w:p>
    <w:p w:rsidR="00724897" w:rsidRDefault="00724897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технологического присоединения влечет за собой установленную законом ответственность.</w:t>
      </w:r>
    </w:p>
    <w:p w:rsidR="00F27F95" w:rsidRPr="00F27F95" w:rsidRDefault="00724897" w:rsidP="0072489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27F95" w:rsidRPr="00F27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Взыскание стоимости бездоговорного потребления энергии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Самовольное подключение к электрическим сетям и потребление электроэнергии в отсутствие реализованной процедуры технологического присоединения могут отвечать признакам бездоговорного потребления энергии. 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42 (далее - Основные положения №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442), </w:t>
      </w:r>
      <w:r w:rsidRPr="00F27F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бездоговорное потребление электрической энергии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самовольное подключение </w:t>
      </w:r>
      <w:proofErr w:type="spellStart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 объектам электросетевого хозяйства и (или) 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рынках. 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Негативным фактором признания потребления электроэнергии бездоговорным является определение объемов энергопотребления расчетным методом, при котором объемы обязательств потребителя по оплате электроэнергии значительно превышают обязательства потребителя, которые сформировались бы при его надлежащем </w:t>
      </w:r>
      <w:proofErr w:type="spellStart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техприсоединении</w:t>
      </w:r>
      <w:proofErr w:type="spellEnd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897" w:rsidRDefault="00F27F95" w:rsidP="007248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п. 84 Основных положений №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 стоимость объема бездоговорного потребления рассчитывается сетевой организацией, к сетям которой присоединены </w:t>
      </w:r>
      <w:proofErr w:type="spellStart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лица, осуществлявшего бездоговорное потребление электрической энергии, и взыскивается такой сетевой организацией с указанного лица на основании акта о неучтенном потреблении электрической энергии, составленного в соответстви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разд. X Основных положений №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442. </w:t>
      </w:r>
    </w:p>
    <w:p w:rsidR="00F27F95" w:rsidRPr="00F27F95" w:rsidRDefault="00724897" w:rsidP="0072489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27F95" w:rsidRPr="00F27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к уголовной ответственности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Самовольное подключение к электрическим сетям и потребление электроэнергии в отсутствие реализованной процедуры технологического присоединения могут быть признаны причинением имущественного ущерба путем обмана или злоу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доверием (ст. 165 Уголовного кодекса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УК РФ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165 УК РФ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хищения, совершенное в крупном размере, наказывается штрафом в размере до 300 000 руб. или в размере заработной платы или иного дохода осужденного за период до 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лет, либо принудительными работами на срок до 2 лет с ограничением свободы на срок до 1 года или без такового, либо лишением свободы на срок до 2 лет со штрафом в размере до 80 000 руб. или в размере заработной платы или иного дохода осужденного за период до 6 месяцев или без такового и с ограничением свободы на срок до 1 года или без такового. 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деяние, совершенное группой лиц по предварительному сговору либо организованной группой или причинившее особо крупный ущерб, наказывается принудительными работами на срок до 5 лет с ограничением свободы на срок до 2 лет или без такового либо лишением свободы на срок до 5 лет со штрафом в размере до 80 000 руб. или в размере заработной платы или </w:t>
      </w:r>
      <w:proofErr w:type="gramStart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bookmarkStart w:id="0" w:name="_GoBack"/>
      <w:bookmarkEnd w:id="0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</w:t>
      </w:r>
      <w:proofErr w:type="gramEnd"/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до 6 месяцев или без такового и с ограничением свободы на срок до 2 лет или без такового. </w:t>
      </w:r>
    </w:p>
    <w:p w:rsidR="00F27F95" w:rsidRPr="00F27F95" w:rsidRDefault="00724897" w:rsidP="0072489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27F95" w:rsidRPr="00F27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к административной ответственности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Самовольное подключение к электрическим сетям и потребление электрической энергии в отсутствие реализованной процедуры технологического присоединения, если эти действия не содержат признаков уголовно наказуемого деяния, могут повлечь за собой применение мер административного воздействия, предусмотренных ст. 7.19 КоАП РФ. </w:t>
      </w:r>
    </w:p>
    <w:p w:rsidR="00F27F95" w:rsidRP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ст. 7.19 КоАП РФ предусмотрена следующая ответственность: административный штраф на граждан в размере от 10 000 руб. до 15 000 руб.; на должностных лиц - от 30 000 руб. до 80 000 руб. или дисквалификация на срок от 1 года до 2 лет; на юридических лиц - от 100 000 руб. до 200 000 руб. </w:t>
      </w:r>
    </w:p>
    <w:p w:rsidR="00F27F95" w:rsidRDefault="00F27F95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совершение административного правонарушения влечет наложение административного штрафа на граждан в размере от 15 000 руб. до 30 000 руб.; на должностных лиц - от 80 000 руб. до 200 000 руб. или дисквалификацию на срок от 2 до 3 лет; на юридических лиц - </w:t>
      </w:r>
      <w:r w:rsidR="0072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200 000 руб. до 300 000 руб.</w:t>
      </w:r>
    </w:p>
    <w:p w:rsidR="00724897" w:rsidRPr="00F27F95" w:rsidRDefault="00724897" w:rsidP="00F27F9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прокуратура Иркутского района настоятельно рекомендует не осуществлять самовольное технологическое присоединение к электрическим сетям в целях исключения в дальнейшем обоснованного привлечения к ответственности.</w:t>
      </w:r>
    </w:p>
    <w:p w:rsidR="00F27F95" w:rsidRPr="009A5896" w:rsidRDefault="00F27F95" w:rsidP="00F27F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37" w:rsidRPr="009A5896" w:rsidRDefault="00F60437" w:rsidP="00F27F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437" w:rsidRPr="009A5896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161DB5"/>
    <w:rsid w:val="0018114E"/>
    <w:rsid w:val="001869EC"/>
    <w:rsid w:val="001942CB"/>
    <w:rsid w:val="00244E1C"/>
    <w:rsid w:val="00254D37"/>
    <w:rsid w:val="002647A8"/>
    <w:rsid w:val="0029468F"/>
    <w:rsid w:val="002E1E30"/>
    <w:rsid w:val="00303649"/>
    <w:rsid w:val="00350AB5"/>
    <w:rsid w:val="003620C7"/>
    <w:rsid w:val="00362CA8"/>
    <w:rsid w:val="003A096B"/>
    <w:rsid w:val="003D3F35"/>
    <w:rsid w:val="004129ED"/>
    <w:rsid w:val="00436B29"/>
    <w:rsid w:val="0045143A"/>
    <w:rsid w:val="00473E95"/>
    <w:rsid w:val="00477A5E"/>
    <w:rsid w:val="004A4E41"/>
    <w:rsid w:val="004C450E"/>
    <w:rsid w:val="004C65B9"/>
    <w:rsid w:val="00526887"/>
    <w:rsid w:val="00565AD7"/>
    <w:rsid w:val="00704669"/>
    <w:rsid w:val="00722D98"/>
    <w:rsid w:val="00724897"/>
    <w:rsid w:val="007363C1"/>
    <w:rsid w:val="00742844"/>
    <w:rsid w:val="007A3830"/>
    <w:rsid w:val="007D1EDC"/>
    <w:rsid w:val="007D2EBD"/>
    <w:rsid w:val="007E3965"/>
    <w:rsid w:val="00800119"/>
    <w:rsid w:val="00800D7C"/>
    <w:rsid w:val="00811A62"/>
    <w:rsid w:val="0087698E"/>
    <w:rsid w:val="008D5EAB"/>
    <w:rsid w:val="008F0B26"/>
    <w:rsid w:val="009044A0"/>
    <w:rsid w:val="009243C7"/>
    <w:rsid w:val="009273D8"/>
    <w:rsid w:val="00973D4C"/>
    <w:rsid w:val="0097774C"/>
    <w:rsid w:val="00994BF8"/>
    <w:rsid w:val="009A5896"/>
    <w:rsid w:val="00A0446D"/>
    <w:rsid w:val="00A049E4"/>
    <w:rsid w:val="00A31691"/>
    <w:rsid w:val="00A4370C"/>
    <w:rsid w:val="00A53C3A"/>
    <w:rsid w:val="00AB68CA"/>
    <w:rsid w:val="00B01409"/>
    <w:rsid w:val="00B22362"/>
    <w:rsid w:val="00B84C64"/>
    <w:rsid w:val="00BA61FE"/>
    <w:rsid w:val="00BB19E8"/>
    <w:rsid w:val="00BB2441"/>
    <w:rsid w:val="00BC2E89"/>
    <w:rsid w:val="00BD64CD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2874"/>
    <w:rsid w:val="00DA395C"/>
    <w:rsid w:val="00DD7B43"/>
    <w:rsid w:val="00E33EE2"/>
    <w:rsid w:val="00E42980"/>
    <w:rsid w:val="00E62117"/>
    <w:rsid w:val="00E71DA9"/>
    <w:rsid w:val="00E866BB"/>
    <w:rsid w:val="00EC65DB"/>
    <w:rsid w:val="00F237B3"/>
    <w:rsid w:val="00F27F95"/>
    <w:rsid w:val="00F31B1B"/>
    <w:rsid w:val="00F46BE7"/>
    <w:rsid w:val="00F54094"/>
    <w:rsid w:val="00F60437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2948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8F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68</cp:revision>
  <dcterms:created xsi:type="dcterms:W3CDTF">2022-03-22T09:00:00Z</dcterms:created>
  <dcterms:modified xsi:type="dcterms:W3CDTF">2024-08-16T09:43:00Z</dcterms:modified>
</cp:coreProperties>
</file>